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Kumla kommunfullmäktige</w:t>
      </w:r>
    </w:p>
    <w:p>
      <w:pPr>
        <w:pStyle w:val="Heading1"/>
      </w:pPr>
      <w:r>
        <w:t xml:space="preserve">Digital medborgarservice och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Kumla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Kumlas e-tjänster ligger efter rikssnittet (SKR 2024). Öppen data och digital service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Kumla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Kumla kommunfullmäktige beslutar att lansera en samlad digital medborgarportal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Kumla kommunfullmäktige beslutar att publicera minst 20 dataset som öppna data enligt PSI-direktivet.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Kumla kommunfullmäktige beslutar att införa digital signering av alla ärenden som tillåter 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Kumla kommunfullmäktige beslutar att mäta andel digitala ärenden och redovisa årligen.</w:t>
      </w:r>
    </w:p>
    <w:p>
      <w:pPr>
        <w:spacing w:before="360"/>
      </w:pPr>
    </w:p>
    <w:p>
      <w:r>
        <w:t xml:space="preserve">Kumla,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Kumla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2026-07-14T04:00:39.996Z</dcterms:created>
  <dcterms:modified xsi:type="dcterms:W3CDTF">2026-07-14T04:00:39.996Z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